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b/>
          <w:bCs/>
          <w:color w:val="000000" w:themeColor="text1"/>
          <w:sz w:val="44"/>
          <w:szCs w:val="44"/>
          <w:highlight w:val="none"/>
          <w:lang w:val="en-US" w:eastAsia="zh-CN"/>
          <w14:textFill>
            <w14:solidFill>
              <w14:schemeClr w14:val="tx1"/>
            </w14:solidFill>
          </w14:textFill>
        </w:rPr>
      </w:pPr>
      <w:bookmarkStart w:id="0" w:name="OLE_LINK10"/>
      <w:r>
        <w:rPr>
          <w:rFonts w:hint="eastAsia" w:ascii="仿宋" w:hAnsi="仿宋" w:eastAsia="仿宋" w:cs="仿宋"/>
          <w:b/>
          <w:bCs/>
          <w:color w:val="000000" w:themeColor="text1"/>
          <w:sz w:val="44"/>
          <w:szCs w:val="44"/>
          <w:highlight w:val="none"/>
          <w:lang w:val="en-US" w:eastAsia="zh-CN"/>
          <w14:textFill>
            <w14:solidFill>
              <w14:schemeClr w14:val="tx1"/>
            </w14:solidFill>
          </w14:textFill>
        </w:rPr>
        <w:t>福州市中心城区智慧供水设施提升改造（一期）工程第1标段项目</w:t>
      </w:r>
      <w:bookmarkEnd w:id="0"/>
      <w:r>
        <w:rPr>
          <w:rFonts w:hint="eastAsia" w:ascii="仿宋" w:hAnsi="仿宋" w:eastAsia="仿宋" w:cs="仿宋"/>
          <w:b/>
          <w:bCs/>
          <w:color w:val="000000" w:themeColor="text1"/>
          <w:sz w:val="44"/>
          <w:szCs w:val="44"/>
          <w:highlight w:val="none"/>
          <w:lang w:val="en-US" w:eastAsia="zh-CN"/>
          <w14:textFill>
            <w14:solidFill>
              <w14:schemeClr w14:val="tx1"/>
            </w14:solidFill>
          </w14:textFill>
        </w:rPr>
        <w:t>钢筋原材料询价公告</w:t>
      </w:r>
    </w:p>
    <w:p>
      <w:pPr>
        <w:pStyle w:val="2"/>
        <w:keepNext w:val="0"/>
        <w:keepLines w:val="0"/>
        <w:pageBreakBefore w:val="0"/>
        <w:widowControl w:val="0"/>
        <w:numPr>
          <w:ilvl w:val="0"/>
          <w:numId w:val="0"/>
        </w:numPr>
        <w:tabs>
          <w:tab w:val="left" w:pos="740"/>
        </w:tabs>
        <w:kinsoku w:val="0"/>
        <w:wordWrap/>
        <w:overflowPunct/>
        <w:topLinePunct w:val="0"/>
        <w:autoSpaceDE w:val="0"/>
        <w:autoSpaceDN w:val="0"/>
        <w:bidi w:val="0"/>
        <w:adjustRightInd w:val="0"/>
        <w:snapToGrid w:val="0"/>
        <w:spacing w:line="480" w:lineRule="exact"/>
        <w:ind w:right="0" w:rightChars="0" w:firstLine="560" w:firstLineChars="200"/>
        <w:jc w:val="both"/>
        <w:textAlignment w:val="baseline"/>
        <w:rPr>
          <w:rFonts w:hint="eastAsia" w:ascii="仿宋" w:hAnsi="仿宋" w:eastAsia="仿宋" w:cs="仿宋"/>
          <w:color w:val="000000" w:themeColor="text1"/>
          <w:kern w:val="2"/>
          <w:sz w:val="28"/>
          <w:szCs w:val="28"/>
          <w:highlight w:val="none"/>
          <w:lang w:val="en-US" w:eastAsia="zh-CN" w:bidi="ar-SA"/>
          <w14:textFill>
            <w14:solidFill>
              <w14:schemeClr w14:val="tx1"/>
            </w14:solidFill>
          </w14:textFill>
        </w:rPr>
      </w:pPr>
    </w:p>
    <w:p>
      <w:pPr>
        <w:pStyle w:val="2"/>
        <w:keepNext w:val="0"/>
        <w:keepLines w:val="0"/>
        <w:pageBreakBefore w:val="0"/>
        <w:widowControl w:val="0"/>
        <w:numPr>
          <w:ilvl w:val="0"/>
          <w:numId w:val="0"/>
        </w:numPr>
        <w:tabs>
          <w:tab w:val="left" w:pos="740"/>
        </w:tabs>
        <w:kinsoku w:val="0"/>
        <w:wordWrap/>
        <w:overflowPunct/>
        <w:topLinePunct w:val="0"/>
        <w:autoSpaceDE w:val="0"/>
        <w:autoSpaceDN w:val="0"/>
        <w:bidi w:val="0"/>
        <w:adjustRightInd w:val="0"/>
        <w:snapToGrid w:val="0"/>
        <w:spacing w:line="500" w:lineRule="exact"/>
        <w:ind w:right="0" w:rightChars="0" w:firstLine="480" w:firstLineChars="200"/>
        <w:jc w:val="both"/>
        <w:textAlignment w:val="baseline"/>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询价人为福建省水利水电工程局有限公司权属子公司</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福建省水投供应链管理有限公司</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（以下简称“询价人”），因</w:t>
      </w:r>
      <w:bookmarkStart w:id="1" w:name="OLE_LINK2"/>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福州市中心城区智慧供水设施提升改造（一期）工程第1标段项目</w:t>
      </w:r>
      <w:r>
        <w:rPr>
          <w:rFonts w:hint="eastAsia" w:hAnsi="宋体" w:eastAsia="宋体" w:cs="宋体"/>
          <w:color w:val="000000" w:themeColor="text1"/>
          <w:kern w:val="2"/>
          <w:sz w:val="24"/>
          <w:szCs w:val="24"/>
          <w:highlight w:val="none"/>
          <w:lang w:val="en-US" w:eastAsia="zh-CN" w:bidi="ar-SA"/>
          <w14:textFill>
            <w14:solidFill>
              <w14:schemeClr w14:val="tx1"/>
            </w14:solidFill>
          </w14:textFill>
        </w:rPr>
        <w:t>钢筋原材料</w:t>
      </w:r>
      <w:bookmarkEnd w:id="1"/>
      <w:r>
        <w:rPr>
          <w:rFonts w:hint="eastAsia" w:hAnsi="宋体" w:eastAsia="宋体" w:cs="宋体"/>
          <w:color w:val="000000" w:themeColor="text1"/>
          <w:kern w:val="2"/>
          <w:sz w:val="24"/>
          <w:szCs w:val="24"/>
          <w:highlight w:val="none"/>
          <w:lang w:val="en-US" w:eastAsia="zh-CN" w:bidi="ar-SA"/>
          <w14:textFill>
            <w14:solidFill>
              <w14:schemeClr w14:val="tx1"/>
            </w14:solidFill>
          </w14:textFill>
        </w:rPr>
        <w:t>需求</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hAnsi="宋体" w:eastAsia="宋体" w:cs="宋体"/>
          <w:color w:val="000000" w:themeColor="text1"/>
          <w:kern w:val="2"/>
          <w:sz w:val="24"/>
          <w:szCs w:val="24"/>
          <w:highlight w:val="none"/>
          <w:lang w:val="en-US" w:eastAsia="zh-CN" w:bidi="ar-SA"/>
          <w14:textFill>
            <w14:solidFill>
              <w14:schemeClr w14:val="tx1"/>
            </w14:solidFill>
          </w14:textFill>
        </w:rPr>
        <w:t>委托我司进行钢筋原材料</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的询价</w:t>
      </w:r>
      <w:r>
        <w:rPr>
          <w:rFonts w:hint="eastAsia" w:hAnsi="宋体" w:eastAsia="宋体" w:cs="宋体"/>
          <w:color w:val="000000" w:themeColor="text1"/>
          <w:kern w:val="2"/>
          <w:sz w:val="24"/>
          <w:szCs w:val="24"/>
          <w:highlight w:val="none"/>
          <w:lang w:val="en-US" w:eastAsia="zh-CN" w:bidi="ar-SA"/>
          <w14:textFill>
            <w14:solidFill>
              <w14:schemeClr w14:val="tx1"/>
            </w14:solidFill>
          </w14:textFill>
        </w:rPr>
        <w:t>采购，现诚邀已在福建省水投供应链管理有限公司供应商库内的供应商参与询价且并收到采购人签发的《投标邀请函》的供应商参与投标报价</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0" w:after="0" w:line="500" w:lineRule="exact"/>
        <w:ind w:firstLine="482" w:firstLineChars="20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一、项目概况</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1.1项目名称：</w:t>
      </w:r>
      <w:bookmarkStart w:id="2" w:name="OLE_LINK5"/>
      <w:bookmarkStart w:id="3" w:name="OLE_LINK11"/>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福州市中心城区智慧供水设施提升改造（一期）工程第1标段项目</w:t>
      </w:r>
      <w:r>
        <w:rPr>
          <w:rFonts w:hint="eastAsia" w:hAnsi="宋体" w:eastAsia="宋体" w:cs="宋体"/>
          <w:color w:val="000000" w:themeColor="text1"/>
          <w:kern w:val="2"/>
          <w:sz w:val="24"/>
          <w:szCs w:val="24"/>
          <w:highlight w:val="none"/>
          <w:u w:val="single"/>
          <w:lang w:val="en-US" w:eastAsia="zh-CN" w:bidi="ar-SA"/>
          <w14:textFill>
            <w14:solidFill>
              <w14:schemeClr w14:val="tx1"/>
            </w14:solidFill>
          </w14:textFill>
        </w:rPr>
        <w:t>钢筋原材料</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询价</w:t>
      </w:r>
      <w:bookmarkEnd w:id="2"/>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采购</w:t>
      </w:r>
      <w:bookmarkEnd w:id="3"/>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00" w:lineRule="exact"/>
        <w:ind w:left="479" w:leftChars="228" w:firstLine="0" w:firstLineChars="0"/>
        <w:textAlignment w:val="auto"/>
        <w:rPr>
          <w:rFonts w:hint="default" w:ascii="宋体" w:hAnsi="宋体" w:eastAsia="宋体" w:cs="宋体"/>
          <w:color w:val="000000"/>
          <w:sz w:val="24"/>
          <w:szCs w:val="24"/>
          <w:highlight w:val="none"/>
          <w:u w:val="single"/>
          <w:lang w:val="en-US" w:eastAsia="zh-CN"/>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1.2项目编号：</w:t>
      </w:r>
      <w:bookmarkStart w:id="4" w:name="OLE_LINK6"/>
      <w:r>
        <w:rPr>
          <w:rFonts w:hint="eastAsia" w:ascii="宋体" w:hAnsi="宋体" w:eastAsia="宋体" w:cs="宋体"/>
          <w:color w:val="000000"/>
          <w:sz w:val="24"/>
          <w:szCs w:val="24"/>
          <w:highlight w:val="none"/>
          <w:u w:val="single"/>
          <w:lang w:val="en-US" w:eastAsia="zh-CN"/>
        </w:rPr>
        <w:t>闽水供应链采购［2026］04号</w:t>
      </w:r>
      <w:bookmarkEnd w:id="4"/>
      <w:r>
        <w:rPr>
          <w:rFonts w:ascii="宋体" w:hAnsi="宋体" w:eastAsia="宋体" w:cs="宋体"/>
          <w:color w:val="000000" w:themeColor="text1"/>
          <w:sz w:val="24"/>
          <w:szCs w:val="24"/>
          <w:highlight w:val="none"/>
          <w:u w:val="single"/>
          <w14:textFill>
            <w14:solidFill>
              <w14:schemeClr w14:val="tx1"/>
            </w14:solidFill>
          </w14:textFill>
        </w:rPr>
        <w:br w:type="textWrapping"/>
      </w:r>
      <w:r>
        <w:rPr>
          <w:rFonts w:hint="eastAsia" w:ascii="宋体" w:hAnsi="宋体" w:eastAsia="宋体" w:cs="宋体"/>
          <w:color w:val="000000" w:themeColor="text1"/>
          <w:sz w:val="24"/>
          <w:szCs w:val="24"/>
          <w:highlight w:val="none"/>
          <w:lang w:val="en-US" w:eastAsia="zh-CN"/>
          <w14:textFill>
            <w14:solidFill>
              <w14:schemeClr w14:val="tx1"/>
            </w14:solidFill>
          </w14:textFill>
        </w:rPr>
        <w:t>1.3供货地点：</w:t>
      </w:r>
      <w:r>
        <w:rPr>
          <w:rFonts w:hint="eastAsia" w:ascii="宋体" w:hAnsi="宋体"/>
          <w:sz w:val="24"/>
          <w:szCs w:val="24"/>
          <w:highlight w:val="none"/>
          <w:u w:val="single"/>
          <w:lang w:val="en-US" w:eastAsia="zh-CN"/>
        </w:rPr>
        <w:t>福州市鼓楼区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1.3供货期限：</w:t>
      </w:r>
      <w:bookmarkStart w:id="5" w:name="OLE_LINK14"/>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自合同签订之日起至</w:t>
      </w:r>
      <w:bookmarkEnd w:id="5"/>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该项目钢筋原材料供货完成；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1.4询价数量</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拟采购</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钢筋原材料暂定</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供货数量为：500吨，具体规格型号以实际下单结算的数量为准</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1.5询价单价：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采用可调单价方式，所报单价已包含但不限于：材料费、运输费、装卸费、保险费、管理费、利润费、风险费、税费（13%）等全部费用。</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1.6询价</w:t>
      </w:r>
      <w:r>
        <w:rPr>
          <w:rFonts w:hint="eastAsia" w:ascii="宋体" w:hAnsi="宋体" w:eastAsia="宋体" w:cs="宋体"/>
          <w:color w:val="000000" w:themeColor="text1"/>
          <w:sz w:val="24"/>
          <w:szCs w:val="24"/>
          <w:highlight w:val="none"/>
          <w14:textFill>
            <w14:solidFill>
              <w14:schemeClr w14:val="tx1"/>
            </w14:solidFill>
          </w14:textFill>
        </w:rPr>
        <w:t>内容：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钢筋原材料的货物名称、型号规格应符合下表：</w:t>
      </w:r>
    </w:p>
    <w:tbl>
      <w:tblPr>
        <w:tblStyle w:val="8"/>
        <w:tblW w:w="8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
        <w:gridCol w:w="2786"/>
        <w:gridCol w:w="2070"/>
        <w:gridCol w:w="945"/>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955" w:type="dxa"/>
            <w:noWrap w:val="0"/>
            <w:vAlign w:val="center"/>
          </w:tcPr>
          <w:p>
            <w:pPr>
              <w:keepNext w:val="0"/>
              <w:keepLines w:val="0"/>
              <w:pageBreakBefore w:val="0"/>
              <w:widowControl/>
              <w:tabs>
                <w:tab w:val="left" w:pos="1134"/>
              </w:tabs>
              <w:wordWrap/>
              <w:overflowPunct/>
              <w:topLinePunct w:val="0"/>
              <w:bidi w:val="0"/>
              <w:spacing w:line="500" w:lineRule="exact"/>
              <w:jc w:val="center"/>
              <w:rPr>
                <w:rFonts w:hint="eastAsia" w:ascii="宋体" w:hAnsi="宋体"/>
                <w:b/>
                <w:sz w:val="24"/>
                <w:highlight w:val="none"/>
              </w:rPr>
            </w:pPr>
            <w:bookmarkStart w:id="6" w:name="OLE_LINK1"/>
            <w:r>
              <w:rPr>
                <w:rFonts w:hint="eastAsia" w:ascii="宋体" w:hAnsi="宋体"/>
                <w:b/>
                <w:sz w:val="24"/>
                <w:highlight w:val="none"/>
              </w:rPr>
              <w:t>合同包</w:t>
            </w:r>
          </w:p>
        </w:tc>
        <w:tc>
          <w:tcPr>
            <w:tcW w:w="2786" w:type="dxa"/>
            <w:noWrap w:val="0"/>
            <w:vAlign w:val="center"/>
          </w:tcPr>
          <w:p>
            <w:pPr>
              <w:keepNext w:val="0"/>
              <w:keepLines w:val="0"/>
              <w:pageBreakBefore w:val="0"/>
              <w:tabs>
                <w:tab w:val="left" w:pos="1134"/>
              </w:tabs>
              <w:wordWrap/>
              <w:overflowPunct/>
              <w:topLinePunct w:val="0"/>
              <w:bidi w:val="0"/>
              <w:spacing w:line="500" w:lineRule="exact"/>
              <w:jc w:val="center"/>
              <w:rPr>
                <w:rFonts w:hint="eastAsia" w:ascii="宋体" w:hAnsi="宋体"/>
                <w:b/>
                <w:sz w:val="24"/>
                <w:highlight w:val="none"/>
              </w:rPr>
            </w:pPr>
            <w:r>
              <w:rPr>
                <w:rFonts w:hint="eastAsia" w:ascii="宋体" w:hAnsi="宋体"/>
                <w:b/>
                <w:sz w:val="24"/>
                <w:highlight w:val="none"/>
              </w:rPr>
              <w:t>货物名称</w:t>
            </w:r>
          </w:p>
        </w:tc>
        <w:tc>
          <w:tcPr>
            <w:tcW w:w="2070" w:type="dxa"/>
            <w:noWrap w:val="0"/>
            <w:vAlign w:val="center"/>
          </w:tcPr>
          <w:p>
            <w:pPr>
              <w:pStyle w:val="4"/>
              <w:keepNext w:val="0"/>
              <w:keepLines w:val="0"/>
              <w:pageBreakBefore w:val="0"/>
              <w:tabs>
                <w:tab w:val="left" w:pos="420"/>
              </w:tabs>
              <w:wordWrap/>
              <w:overflowPunct/>
              <w:topLinePunct w:val="0"/>
              <w:bidi w:val="0"/>
              <w:spacing w:line="500" w:lineRule="exact"/>
              <w:jc w:val="center"/>
              <w:rPr>
                <w:rFonts w:hint="eastAsia" w:hAnsi="宋体"/>
                <w:b/>
                <w:sz w:val="24"/>
                <w:szCs w:val="24"/>
                <w:highlight w:val="none"/>
              </w:rPr>
            </w:pPr>
            <w:r>
              <w:rPr>
                <w:rFonts w:hint="eastAsia" w:hAnsi="宋体"/>
                <w:b/>
                <w:sz w:val="24"/>
                <w:szCs w:val="24"/>
                <w:highlight w:val="none"/>
              </w:rPr>
              <w:t>主要规格</w:t>
            </w:r>
          </w:p>
          <w:p>
            <w:pPr>
              <w:pStyle w:val="4"/>
              <w:keepNext w:val="0"/>
              <w:keepLines w:val="0"/>
              <w:pageBreakBefore w:val="0"/>
              <w:tabs>
                <w:tab w:val="left" w:pos="420"/>
              </w:tabs>
              <w:wordWrap/>
              <w:overflowPunct/>
              <w:topLinePunct w:val="0"/>
              <w:bidi w:val="0"/>
              <w:spacing w:line="500" w:lineRule="exact"/>
              <w:jc w:val="center"/>
              <w:rPr>
                <w:rFonts w:hint="eastAsia" w:hAnsi="宋体"/>
                <w:b/>
                <w:sz w:val="24"/>
                <w:szCs w:val="24"/>
                <w:highlight w:val="none"/>
              </w:rPr>
            </w:pPr>
            <w:r>
              <w:rPr>
                <w:rFonts w:hint="eastAsia" w:hAnsi="宋体"/>
                <w:b/>
                <w:sz w:val="24"/>
                <w:szCs w:val="24"/>
                <w:highlight w:val="none"/>
              </w:rPr>
              <w:t>要求</w:t>
            </w:r>
          </w:p>
        </w:tc>
        <w:tc>
          <w:tcPr>
            <w:tcW w:w="945" w:type="dxa"/>
            <w:noWrap w:val="0"/>
            <w:vAlign w:val="center"/>
          </w:tcPr>
          <w:p>
            <w:pPr>
              <w:pStyle w:val="4"/>
              <w:keepNext w:val="0"/>
              <w:keepLines w:val="0"/>
              <w:pageBreakBefore w:val="0"/>
              <w:tabs>
                <w:tab w:val="left" w:pos="420"/>
              </w:tabs>
              <w:wordWrap/>
              <w:overflowPunct/>
              <w:topLinePunct w:val="0"/>
              <w:bidi w:val="0"/>
              <w:spacing w:line="500" w:lineRule="exact"/>
              <w:jc w:val="center"/>
              <w:rPr>
                <w:rFonts w:hint="eastAsia" w:hAnsi="宋体"/>
                <w:b/>
                <w:sz w:val="24"/>
                <w:szCs w:val="24"/>
                <w:highlight w:val="none"/>
              </w:rPr>
            </w:pPr>
            <w:r>
              <w:rPr>
                <w:rFonts w:hint="eastAsia" w:hAnsi="宋体"/>
                <w:b/>
                <w:sz w:val="24"/>
                <w:szCs w:val="24"/>
                <w:highlight w:val="none"/>
              </w:rPr>
              <w:t>单位</w:t>
            </w:r>
          </w:p>
        </w:tc>
        <w:tc>
          <w:tcPr>
            <w:tcW w:w="1740" w:type="dxa"/>
            <w:noWrap w:val="0"/>
            <w:vAlign w:val="center"/>
          </w:tcPr>
          <w:p>
            <w:pPr>
              <w:pStyle w:val="4"/>
              <w:keepNext w:val="0"/>
              <w:keepLines w:val="0"/>
              <w:pageBreakBefore w:val="0"/>
              <w:tabs>
                <w:tab w:val="left" w:pos="420"/>
              </w:tabs>
              <w:wordWrap/>
              <w:overflowPunct/>
              <w:topLinePunct w:val="0"/>
              <w:bidi w:val="0"/>
              <w:spacing w:line="500" w:lineRule="exact"/>
              <w:jc w:val="center"/>
              <w:rPr>
                <w:rFonts w:hint="eastAsia" w:hAnsi="宋体"/>
                <w:b/>
                <w:sz w:val="24"/>
                <w:szCs w:val="24"/>
                <w:highlight w:val="none"/>
              </w:rPr>
            </w:pPr>
            <w:r>
              <w:rPr>
                <w:rFonts w:hint="eastAsia" w:hAnsi="宋体"/>
                <w:b/>
                <w:sz w:val="24"/>
                <w:szCs w:val="24"/>
                <w:highlight w:val="none"/>
              </w:rPr>
              <w:t>暂定数量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8" w:hRule="atLeast"/>
          <w:jc w:val="center"/>
        </w:trPr>
        <w:tc>
          <w:tcPr>
            <w:tcW w:w="955" w:type="dxa"/>
            <w:noWrap w:val="0"/>
            <w:vAlign w:val="center"/>
          </w:tcPr>
          <w:p>
            <w:pPr>
              <w:keepNext w:val="0"/>
              <w:keepLines w:val="0"/>
              <w:pageBreakBefore w:val="0"/>
              <w:widowControl/>
              <w:tabs>
                <w:tab w:val="left" w:pos="1134"/>
              </w:tabs>
              <w:wordWrap/>
              <w:overflowPunct/>
              <w:topLinePunct w:val="0"/>
              <w:bidi w:val="0"/>
              <w:spacing w:line="500" w:lineRule="exact"/>
              <w:ind w:firstLine="240" w:firstLineChars="100"/>
              <w:rPr>
                <w:rFonts w:hint="eastAsia" w:ascii="宋体" w:hAnsi="宋体"/>
                <w:sz w:val="24"/>
                <w:highlight w:val="none"/>
              </w:rPr>
            </w:pPr>
            <w:r>
              <w:rPr>
                <w:rFonts w:hint="eastAsia" w:ascii="宋体" w:hAnsi="宋体"/>
                <w:sz w:val="24"/>
                <w:highlight w:val="none"/>
              </w:rPr>
              <w:t>1</w:t>
            </w:r>
          </w:p>
        </w:tc>
        <w:tc>
          <w:tcPr>
            <w:tcW w:w="2786" w:type="dxa"/>
            <w:noWrap w:val="0"/>
            <w:vAlign w:val="center"/>
          </w:tcPr>
          <w:p>
            <w:pPr>
              <w:keepNext w:val="0"/>
              <w:keepLines w:val="0"/>
              <w:pageBreakBefore w:val="0"/>
              <w:wordWrap/>
              <w:overflowPunct/>
              <w:topLinePunct w:val="0"/>
              <w:bidi w:val="0"/>
              <w:spacing w:line="500" w:lineRule="exact"/>
              <w:jc w:val="left"/>
              <w:rPr>
                <w:rFonts w:hint="default" w:hAnsi="宋体" w:cs="Arial" w:eastAsiaTheme="minorEastAsia"/>
                <w:sz w:val="24"/>
                <w:highlight w:val="none"/>
                <w:lang w:val="en-US" w:eastAsia="zh-CN"/>
              </w:rPr>
            </w:pPr>
            <w:r>
              <w:rPr>
                <w:rFonts w:hint="eastAsia" w:ascii="宋体" w:hAnsi="宋体" w:eastAsia="宋体" w:cs="Times New Roman"/>
                <w:kern w:val="2"/>
                <w:sz w:val="24"/>
                <w:szCs w:val="24"/>
                <w:highlight w:val="none"/>
                <w:u w:val="none"/>
                <w:lang w:val="en-US" w:eastAsia="zh-CN" w:bidi="ar-SA"/>
              </w:rPr>
              <w:t>福州市中心城区智慧供水设施提升改造（一期）工程第1标段</w:t>
            </w:r>
            <w:r>
              <w:rPr>
                <w:rFonts w:hint="eastAsia" w:ascii="宋体" w:hAnsi="宋体" w:cs="Times New Roman"/>
                <w:kern w:val="2"/>
                <w:sz w:val="24"/>
                <w:szCs w:val="24"/>
                <w:highlight w:val="none"/>
                <w:u w:val="none"/>
                <w:lang w:val="en-US" w:eastAsia="zh-CN" w:bidi="ar-SA"/>
              </w:rPr>
              <w:t>项目</w:t>
            </w:r>
            <w:r>
              <w:rPr>
                <w:rFonts w:hint="eastAsia" w:hAnsi="宋体" w:eastAsia="宋体" w:cs="宋体"/>
                <w:color w:val="000000" w:themeColor="text1"/>
                <w:kern w:val="2"/>
                <w:sz w:val="24"/>
                <w:szCs w:val="24"/>
                <w:highlight w:val="none"/>
                <w:lang w:val="en-US" w:eastAsia="zh-CN" w:bidi="ar-SA"/>
                <w14:textFill>
                  <w14:solidFill>
                    <w14:schemeClr w14:val="tx1"/>
                  </w14:solidFill>
                </w14:textFill>
              </w:rPr>
              <w:t>钢筋原材料</w:t>
            </w:r>
          </w:p>
        </w:tc>
        <w:tc>
          <w:tcPr>
            <w:tcW w:w="2070" w:type="dxa"/>
            <w:noWrap w:val="0"/>
            <w:vAlign w:val="center"/>
          </w:tcPr>
          <w:p>
            <w:pPr>
              <w:pStyle w:val="4"/>
              <w:keepNext w:val="0"/>
              <w:keepLines w:val="0"/>
              <w:pageBreakBefore w:val="0"/>
              <w:tabs>
                <w:tab w:val="left" w:pos="420"/>
              </w:tabs>
              <w:wordWrap/>
              <w:overflowPunct/>
              <w:topLinePunct w:val="0"/>
              <w:bidi w:val="0"/>
              <w:spacing w:line="500" w:lineRule="exact"/>
              <w:jc w:val="center"/>
              <w:rPr>
                <w:rFonts w:hint="eastAsia" w:hAnsi="宋体" w:cs="宋体"/>
                <w:sz w:val="24"/>
                <w:szCs w:val="24"/>
                <w:highlight w:val="none"/>
              </w:rPr>
            </w:pPr>
            <w:bookmarkStart w:id="7" w:name="OLE_LINK12"/>
            <w:r>
              <w:rPr>
                <w:rFonts w:hint="eastAsia" w:hAnsi="宋体" w:cs="宋体"/>
                <w:sz w:val="24"/>
                <w:szCs w:val="24"/>
                <w:highlight w:val="none"/>
              </w:rPr>
              <w:t>综合（高线、螺纹钢、盘螺钢筋等）</w:t>
            </w:r>
            <w:bookmarkEnd w:id="7"/>
          </w:p>
        </w:tc>
        <w:tc>
          <w:tcPr>
            <w:tcW w:w="945" w:type="dxa"/>
            <w:noWrap w:val="0"/>
            <w:vAlign w:val="center"/>
          </w:tcPr>
          <w:p>
            <w:pPr>
              <w:pStyle w:val="4"/>
              <w:keepNext w:val="0"/>
              <w:keepLines w:val="0"/>
              <w:pageBreakBefore w:val="0"/>
              <w:tabs>
                <w:tab w:val="left" w:pos="420"/>
              </w:tabs>
              <w:wordWrap/>
              <w:overflowPunct/>
              <w:topLinePunct w:val="0"/>
              <w:bidi w:val="0"/>
              <w:spacing w:line="500" w:lineRule="exact"/>
              <w:jc w:val="center"/>
              <w:rPr>
                <w:rFonts w:hAnsi="宋体" w:cs="宋体"/>
                <w:sz w:val="24"/>
                <w:szCs w:val="24"/>
                <w:highlight w:val="none"/>
              </w:rPr>
            </w:pPr>
            <w:r>
              <w:rPr>
                <w:rFonts w:hint="eastAsia" w:hAnsi="宋体" w:cs="宋体"/>
                <w:sz w:val="24"/>
                <w:szCs w:val="24"/>
                <w:highlight w:val="none"/>
              </w:rPr>
              <w:t>吨</w:t>
            </w:r>
          </w:p>
        </w:tc>
        <w:tc>
          <w:tcPr>
            <w:tcW w:w="1740" w:type="dxa"/>
            <w:noWrap w:val="0"/>
            <w:vAlign w:val="center"/>
          </w:tcPr>
          <w:p>
            <w:pPr>
              <w:pStyle w:val="4"/>
              <w:keepNext w:val="0"/>
              <w:keepLines w:val="0"/>
              <w:pageBreakBefore w:val="0"/>
              <w:tabs>
                <w:tab w:val="left" w:pos="420"/>
              </w:tabs>
              <w:wordWrap/>
              <w:overflowPunct/>
              <w:topLinePunct w:val="0"/>
              <w:bidi w:val="0"/>
              <w:spacing w:line="500" w:lineRule="exact"/>
              <w:jc w:val="center"/>
              <w:rPr>
                <w:rFonts w:hint="default" w:hAnsi="宋体" w:cs="宋体" w:eastAsiaTheme="minorEastAsia"/>
                <w:sz w:val="24"/>
                <w:szCs w:val="24"/>
                <w:highlight w:val="none"/>
                <w:lang w:val="en-US" w:eastAsia="zh-CN"/>
              </w:rPr>
            </w:pPr>
            <w:r>
              <w:rPr>
                <w:rFonts w:hint="eastAsia" w:hAnsi="宋体" w:cs="宋体"/>
                <w:sz w:val="24"/>
                <w:szCs w:val="24"/>
                <w:highlight w:val="none"/>
                <w:lang w:val="en-US" w:eastAsia="zh-CN"/>
              </w:rPr>
              <w:t>500</w:t>
            </w:r>
          </w:p>
        </w:tc>
      </w:tr>
      <w:bookmarkEnd w:id="6"/>
    </w:tbl>
    <w:p>
      <w:pPr>
        <w:keepNext w:val="0"/>
        <w:keepLines w:val="0"/>
        <w:pageBreakBefore w:val="0"/>
        <w:wordWrap/>
        <w:overflowPunct/>
        <w:topLinePunct w:val="0"/>
        <w:bidi w:val="0"/>
        <w:spacing w:line="500" w:lineRule="exact"/>
        <w:rPr>
          <w:rFonts w:hint="eastAsia"/>
          <w:color w:val="000000" w:themeColor="text1"/>
          <w:highlight w:val="none"/>
          <w:lang w:eastAsia="zh-CN"/>
          <w14:textFill>
            <w14:solidFill>
              <w14:schemeClr w14:val="tx1"/>
            </w14:solidFill>
          </w14:textFill>
        </w:rPr>
      </w:pPr>
    </w:p>
    <w:p>
      <w:pPr>
        <w:pStyle w:val="2"/>
        <w:keepNext w:val="0"/>
        <w:keepLines w:val="0"/>
        <w:pageBreakBefore w:val="0"/>
        <w:widowControl w:val="0"/>
        <w:numPr>
          <w:ilvl w:val="0"/>
          <w:numId w:val="0"/>
        </w:numPr>
        <w:tabs>
          <w:tab w:val="left" w:pos="740"/>
        </w:tabs>
        <w:kinsoku w:val="0"/>
        <w:wordWrap/>
        <w:overflowPunct/>
        <w:topLinePunct w:val="0"/>
        <w:autoSpaceDE w:val="0"/>
        <w:autoSpaceDN w:val="0"/>
        <w:bidi w:val="0"/>
        <w:adjustRightInd w:val="0"/>
        <w:snapToGrid w:val="0"/>
        <w:spacing w:line="500" w:lineRule="exact"/>
        <w:ind w:right="0" w:rightChars="0" w:firstLine="482" w:firstLineChars="200"/>
        <w:jc w:val="both"/>
        <w:textAlignment w:val="baseline"/>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hAnsi="宋体" w:eastAsia="宋体" w:cs="宋体"/>
          <w:b/>
          <w:bCs/>
          <w:color w:val="000000" w:themeColor="text1"/>
          <w:kern w:val="2"/>
          <w:sz w:val="24"/>
          <w:szCs w:val="24"/>
          <w:highlight w:val="none"/>
          <w:lang w:val="en-US" w:eastAsia="zh-CN" w:bidi="ar-SA"/>
          <w14:textFill>
            <w14:solidFill>
              <w14:schemeClr w14:val="tx1"/>
            </w14:solidFill>
          </w14:textFill>
        </w:rPr>
        <w:t>二</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w:t>
      </w:r>
      <w:r>
        <w:rPr>
          <w:rFonts w:hint="eastAsia" w:hAnsi="宋体" w:eastAsia="宋体" w:cs="宋体"/>
          <w:b/>
          <w:bCs/>
          <w:color w:val="000000" w:themeColor="text1"/>
          <w:sz w:val="24"/>
          <w:szCs w:val="24"/>
          <w:highlight w:val="none"/>
          <w:lang w:val="en-US" w:eastAsia="zh-CN"/>
          <w14:textFill>
            <w14:solidFill>
              <w14:schemeClr w14:val="tx1"/>
            </w14:solidFill>
          </w14:textFill>
        </w:rPr>
        <w:t>钢筋原材料</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的询价</w:t>
      </w:r>
      <w:r>
        <w:rPr>
          <w:rFonts w:hint="eastAsia" w:hAnsi="宋体" w:eastAsia="宋体" w:cs="宋体"/>
          <w:b/>
          <w:bCs/>
          <w:color w:val="000000" w:themeColor="text1"/>
          <w:sz w:val="24"/>
          <w:szCs w:val="24"/>
          <w:highlight w:val="none"/>
          <w:lang w:val="en-US" w:eastAsia="zh-CN"/>
          <w14:textFill>
            <w14:solidFill>
              <w14:schemeClr w14:val="tx1"/>
            </w14:solidFill>
          </w14:textFill>
        </w:rPr>
        <w:t>及技术服务要求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2.1供应商提交的《</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钢筋原材料的</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询价一览表》，</w:t>
      </w: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所报单价已包含但不限于：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材料费、运输费、装卸费、保险费、管理费、利润费、风险费</w:t>
      </w: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（运输安全、材料上涨等）</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、税费（13%）等全部费用</w:t>
      </w: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，采购数量具体以实际下单结算的数量为准。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2.2</w:t>
      </w: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供应品牌：钢筋品牌选用“</w:t>
      </w:r>
      <w:r>
        <w:rPr>
          <w:rFonts w:hint="eastAsia" w:ascii="宋体" w:hAnsi="宋体" w:eastAsia="宋体" w:cs="宋体"/>
          <w:b w:val="0"/>
          <w:bCs w:val="0"/>
          <w:color w:val="000000" w:themeColor="text1"/>
          <w:sz w:val="24"/>
          <w:szCs w:val="24"/>
          <w:highlight w:val="none"/>
          <w:u w:val="none"/>
          <w:lang w:val="en-US" w:eastAsia="zh"/>
          <w14:textFill>
            <w14:solidFill>
              <w14:schemeClr w14:val="tx1"/>
            </w14:solidFill>
          </w14:textFill>
        </w:rPr>
        <w:t>三钢</w:t>
      </w: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”为供应品牌及评标依据。具体品牌选择以项目《采购订单》下单为准。供货以“</w:t>
      </w:r>
      <w:r>
        <w:rPr>
          <w:rFonts w:hint="eastAsia" w:ascii="宋体" w:hAnsi="宋体" w:eastAsia="宋体" w:cs="宋体"/>
          <w:b w:val="0"/>
          <w:bCs w:val="0"/>
          <w:color w:val="000000" w:themeColor="text1"/>
          <w:sz w:val="24"/>
          <w:szCs w:val="24"/>
          <w:highlight w:val="none"/>
          <w:u w:val="none"/>
          <w:lang w:val="en-US" w:eastAsia="zh"/>
          <w14:textFill>
            <w14:solidFill>
              <w14:schemeClr w14:val="tx1"/>
            </w14:solidFill>
          </w14:textFill>
        </w:rPr>
        <w:t>三钢</w:t>
      </w: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品牌为主，以大东海为第二品牌选择。若更换其他厂家品牌时，供需双方协商确认，并经项目建设单位、监理单位报备同意后，方可组织进场，进场的所有品牌钢筋应严格按相关的质量标准抽样复检送试合格后，方可办理付款手续。</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2.3钢筋质量按国家相关标准（GB/T1499.1-2017，GB/T1499.2-2018）执行，并要求符合GB5024—2015《混凝土结构工程施工及验收规范》《工程建设标准强制性条文》规定的要求。如国家颁布新标准，则按新标准执行。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2.3钢筋应平直、无损伤，表面不得有锈蚀、裂纹、折叠、结疤及油污、颗粒状或片状老锈，不得存在氧化层现象，凡抽检不合格产品由供方自行清理出场，并赔偿需方由此产生的一切损失。</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宋体" w:hAnsi="宋体" w:eastAsia="宋体" w:cs="宋体"/>
          <w:b w:val="0"/>
          <w:b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2.4钢筋的</w:t>
      </w:r>
      <w:r>
        <w:rPr>
          <w:rFonts w:hint="default" w:ascii="宋体" w:hAnsi="宋体" w:eastAsia="宋体" w:cs="宋体"/>
          <w:b w:val="0"/>
          <w:bCs w:val="0"/>
          <w:color w:val="000000" w:themeColor="text1"/>
          <w:sz w:val="24"/>
          <w:szCs w:val="24"/>
          <w:highlight w:val="none"/>
          <w:u w:val="none"/>
          <w:lang w:val="en-US" w:eastAsia="zh-CN"/>
          <w14:textFill>
            <w14:solidFill>
              <w14:schemeClr w14:val="tx1"/>
            </w14:solidFill>
          </w14:textFill>
        </w:rPr>
        <w:t>计量方式：</w:t>
      </w: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1、盘状钢筋按过磅计重方式；2、螺纹钢以甲方过磅+检尺后进行理论换算方式进行数量验收，螺纹钢采用理计(不得超过国标允许的偏差范围，超出国标允许的偏差范围本期结算数量全部按照偏差下限进行结算)验收为准，重量以乙方单车出厂磅单为准，甲方现场过磅复核，按国家规定磅差±3‰以内按乙方出厂磅单计量；若磅差超出3‰，由双方共同选择第三方进行复磅（复磅应选择技术监督局检验合格且距离卸货地较近的公磅处进行），复磅后如磅差超±3‰，则以复磅数量为准，复磅费用由乙方承担，反之由甲方承担。</w:t>
      </w:r>
    </w:p>
    <w:p>
      <w:pPr>
        <w:pStyle w:val="2"/>
        <w:keepNext w:val="0"/>
        <w:keepLines w:val="0"/>
        <w:pageBreakBefore w:val="0"/>
        <w:widowControl w:val="0"/>
        <w:numPr>
          <w:ilvl w:val="0"/>
          <w:numId w:val="0"/>
        </w:numPr>
        <w:tabs>
          <w:tab w:val="left" w:pos="740"/>
        </w:tabs>
        <w:kinsoku w:val="0"/>
        <w:wordWrap/>
        <w:overflowPunct/>
        <w:topLinePunct w:val="0"/>
        <w:autoSpaceDE w:val="0"/>
        <w:autoSpaceDN w:val="0"/>
        <w:bidi w:val="0"/>
        <w:adjustRightInd w:val="0"/>
        <w:snapToGrid w:val="0"/>
        <w:spacing w:line="500" w:lineRule="exact"/>
        <w:ind w:right="0" w:rightChars="0" w:firstLine="482" w:firstLineChars="200"/>
        <w:jc w:val="both"/>
        <w:textAlignment w:val="baseline"/>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hAnsi="宋体" w:eastAsia="宋体" w:cs="宋体"/>
          <w:b/>
          <w:bCs/>
          <w:color w:val="000000" w:themeColor="text1"/>
          <w:kern w:val="2"/>
          <w:sz w:val="24"/>
          <w:szCs w:val="24"/>
          <w:highlight w:val="none"/>
          <w:lang w:val="en-US" w:eastAsia="zh-CN" w:bidi="ar-SA"/>
          <w14:textFill>
            <w14:solidFill>
              <w14:schemeClr w14:val="tx1"/>
            </w14:solidFill>
          </w14:textFill>
        </w:rPr>
        <w:t>三</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w:t>
      </w:r>
      <w:r>
        <w:rPr>
          <w:rFonts w:hint="eastAsia" w:hAnsi="宋体" w:eastAsia="宋体" w:cs="宋体"/>
          <w:b/>
          <w:bCs/>
          <w:color w:val="000000" w:themeColor="text1"/>
          <w:sz w:val="24"/>
          <w:szCs w:val="24"/>
          <w:highlight w:val="none"/>
          <w:lang w:val="en-US" w:eastAsia="zh-CN"/>
          <w14:textFill>
            <w14:solidFill>
              <w14:schemeClr w14:val="tx1"/>
            </w14:solidFill>
          </w14:textFill>
        </w:rPr>
        <w:t>询价响应文件的获取</w:t>
      </w:r>
    </w:p>
    <w:p>
      <w:pPr>
        <w:keepNext w:val="0"/>
        <w:keepLines w:val="0"/>
        <w:pageBreakBefore w:val="0"/>
        <w:numPr>
          <w:ilvl w:val="0"/>
          <w:numId w:val="0"/>
        </w:numPr>
        <w:wordWrap/>
        <w:overflowPunct/>
        <w:topLinePunct w:val="0"/>
        <w:bidi w:val="0"/>
        <w:spacing w:line="500" w:lineRule="exact"/>
        <w:ind w:firstLine="480" w:firstLineChars="200"/>
        <w:jc w:val="both"/>
        <w:rPr>
          <w:rFonts w:hint="eastAsia" w:ascii="宋体" w:hAnsi="宋体" w:cs="仿宋_GB2312"/>
          <w:color w:val="000000"/>
          <w:sz w:val="24"/>
          <w:szCs w:val="24"/>
          <w:highlight w:val="none"/>
          <w:lang w:val="en-US" w:eastAsia="zh-CN"/>
        </w:rPr>
      </w:pPr>
      <w:r>
        <w:rPr>
          <w:rFonts w:hint="eastAsia" w:ascii="宋体" w:hAnsi="宋体" w:cs="仿宋_GB2312"/>
          <w:color w:val="auto"/>
          <w:sz w:val="24"/>
          <w:szCs w:val="24"/>
          <w:highlight w:val="none"/>
        </w:rPr>
        <w:t>凡</w:t>
      </w:r>
      <w:r>
        <w:rPr>
          <w:rFonts w:hint="eastAsia" w:ascii="宋体" w:hAnsi="宋体" w:cs="仿宋_GB2312"/>
          <w:color w:val="auto"/>
          <w:sz w:val="24"/>
          <w:szCs w:val="24"/>
          <w:highlight w:val="none"/>
          <w:lang w:val="en-US" w:eastAsia="zh-CN"/>
        </w:rPr>
        <w:t>被邀请的潜在投标人</w:t>
      </w:r>
      <w:r>
        <w:rPr>
          <w:rFonts w:hint="eastAsia" w:ascii="宋体" w:hAnsi="宋体" w:eastAsia="宋体" w:cs="宋体"/>
          <w:color w:val="auto"/>
          <w:sz w:val="24"/>
          <w:highlight w:val="none"/>
          <w:lang w:val="en-US" w:eastAsia="zh-CN"/>
        </w:rPr>
        <w:t>，请于2026年5月29日至6月2日9:30（北京时间）</w:t>
      </w:r>
      <w:r>
        <w:rPr>
          <w:rFonts w:hint="eastAsia" w:ascii="宋体" w:hAnsi="宋体" w:cs="仿宋_GB2312"/>
          <w:color w:val="auto"/>
          <w:sz w:val="24"/>
          <w:szCs w:val="24"/>
          <w:highlight w:val="none"/>
          <w:lang w:val="en-US" w:eastAsia="zh-CN"/>
        </w:rPr>
        <w:t>获</w:t>
      </w:r>
      <w:r>
        <w:rPr>
          <w:rFonts w:hint="eastAsia" w:ascii="宋体" w:hAnsi="宋体" w:cs="仿宋_GB2312"/>
          <w:color w:val="000000"/>
          <w:sz w:val="24"/>
          <w:szCs w:val="24"/>
          <w:highlight w:val="none"/>
          <w:lang w:val="en-US" w:eastAsia="zh-CN"/>
        </w:rPr>
        <w:t>取招标文件时间内注册并登录福建省水投供应链管理有限公司的招采平台网站（</w:t>
      </w:r>
      <w:r>
        <w:rPr>
          <w:rFonts w:hint="default" w:ascii="宋体" w:hAnsi="宋体" w:cs="仿宋_GB2312"/>
          <w:color w:val="000000"/>
          <w:spacing w:val="-11"/>
          <w:sz w:val="24"/>
          <w:szCs w:val="24"/>
          <w:highlight w:val="none"/>
          <w:lang w:val="en-US" w:eastAsia="zh-CN"/>
        </w:rPr>
        <w:t>http://121.204.201.32:9001/sppreact</w:t>
      </w:r>
      <w:r>
        <w:rPr>
          <w:rFonts w:hint="eastAsia" w:ascii="宋体" w:hAnsi="宋体" w:cs="仿宋_GB2312"/>
          <w:color w:val="000000"/>
          <w:sz w:val="24"/>
          <w:szCs w:val="24"/>
          <w:highlight w:val="none"/>
          <w:lang w:val="en-US" w:eastAsia="zh-CN"/>
        </w:rPr>
        <w:t>）（简称“水投招采平台”）进行供应商注册及招标文件的下载。</w:t>
      </w:r>
    </w:p>
    <w:p>
      <w:pPr>
        <w:keepNext w:val="0"/>
        <w:keepLines w:val="0"/>
        <w:pageBreakBefore w:val="0"/>
        <w:widowControl w:val="0"/>
        <w:tabs>
          <w:tab w:val="left" w:pos="510"/>
          <w:tab w:val="left" w:pos="900"/>
          <w:tab w:val="left" w:pos="1100"/>
        </w:tabs>
        <w:wordWrap/>
        <w:overflowPunct/>
        <w:topLinePunct w:val="0"/>
        <w:bidi w:val="0"/>
        <w:spacing w:line="500" w:lineRule="exact"/>
        <w:ind w:firstLine="499" w:firstLineChars="208"/>
        <w:rPr>
          <w:rFonts w:hint="eastAsia" w:ascii="宋体" w:hAnsi="宋体" w:cs="仿宋_GB2312"/>
          <w:color w:val="000000"/>
          <w:sz w:val="24"/>
          <w:szCs w:val="24"/>
          <w:highlight w:val="none"/>
          <w:lang w:val="en-US" w:eastAsia="zh-CN"/>
        </w:rPr>
      </w:pPr>
      <w:r>
        <w:rPr>
          <w:rFonts w:hint="eastAsia" w:ascii="宋体" w:hAnsi="宋体" w:cs="仿宋_GB2312"/>
          <w:color w:val="000000"/>
          <w:sz w:val="24"/>
          <w:szCs w:val="24"/>
          <w:highlight w:val="none"/>
          <w:lang w:val="en-US" w:eastAsia="zh-CN"/>
        </w:rPr>
        <w:t>3.1供应商登录：供应商完成注册后，进入信息填报界面，填写相关信息。</w:t>
      </w:r>
    </w:p>
    <w:p>
      <w:pPr>
        <w:keepNext w:val="0"/>
        <w:keepLines w:val="0"/>
        <w:pageBreakBefore w:val="0"/>
        <w:widowControl w:val="0"/>
        <w:tabs>
          <w:tab w:val="left" w:pos="510"/>
          <w:tab w:val="left" w:pos="900"/>
          <w:tab w:val="left" w:pos="1100"/>
        </w:tabs>
        <w:wordWrap/>
        <w:overflowPunct/>
        <w:topLinePunct w:val="0"/>
        <w:bidi w:val="0"/>
        <w:spacing w:line="500" w:lineRule="exact"/>
        <w:ind w:firstLine="499" w:firstLineChars="208"/>
        <w:rPr>
          <w:rFonts w:hint="eastAsia" w:ascii="宋体" w:hAnsi="宋体" w:cs="仿宋_GB2312"/>
          <w:color w:val="000000"/>
          <w:sz w:val="24"/>
          <w:szCs w:val="24"/>
          <w:highlight w:val="none"/>
          <w:lang w:val="en-US" w:eastAsia="zh-CN"/>
        </w:rPr>
      </w:pPr>
      <w:r>
        <w:rPr>
          <w:rFonts w:hint="eastAsia" w:ascii="宋体" w:hAnsi="宋体" w:cs="仿宋_GB2312"/>
          <w:color w:val="000000"/>
          <w:sz w:val="24"/>
          <w:szCs w:val="24"/>
          <w:highlight w:val="none"/>
          <w:lang w:val="en-US" w:eastAsia="zh-CN"/>
        </w:rPr>
        <w:t>3.2招标文件的获取：在“水投招采平台”自行下载。</w:t>
      </w:r>
    </w:p>
    <w:p>
      <w:pPr>
        <w:keepNext w:val="0"/>
        <w:keepLines w:val="0"/>
        <w:pageBreakBefore w:val="0"/>
        <w:widowControl w:val="0"/>
        <w:tabs>
          <w:tab w:val="left" w:pos="510"/>
          <w:tab w:val="left" w:pos="900"/>
          <w:tab w:val="left" w:pos="1100"/>
        </w:tabs>
        <w:wordWrap/>
        <w:overflowPunct/>
        <w:topLinePunct w:val="0"/>
        <w:bidi w:val="0"/>
        <w:spacing w:line="500" w:lineRule="exact"/>
        <w:ind w:firstLine="482" w:firstLineChars="200"/>
        <w:rPr>
          <w:rFonts w:hint="eastAsia" w:ascii="宋体" w:hAnsi="宋体" w:cs="仿宋_GB2312"/>
          <w:b/>
          <w:bCs/>
          <w:color w:val="000000"/>
          <w:sz w:val="24"/>
          <w:szCs w:val="24"/>
          <w:highlight w:val="none"/>
          <w:lang w:val="en-US" w:eastAsia="zh-CN"/>
        </w:rPr>
      </w:pPr>
      <w:r>
        <w:rPr>
          <w:rFonts w:hint="eastAsia" w:ascii="宋体" w:hAnsi="宋体" w:cs="仿宋_GB2312"/>
          <w:b/>
          <w:bCs/>
          <w:color w:val="000000"/>
          <w:sz w:val="24"/>
          <w:szCs w:val="24"/>
          <w:highlight w:val="none"/>
          <w:lang w:val="en-US" w:eastAsia="zh-CN"/>
        </w:rPr>
        <w:t>注意事项：</w:t>
      </w:r>
    </w:p>
    <w:p>
      <w:pPr>
        <w:keepNext w:val="0"/>
        <w:keepLines w:val="0"/>
        <w:pageBreakBefore w:val="0"/>
        <w:widowControl w:val="0"/>
        <w:tabs>
          <w:tab w:val="left" w:pos="510"/>
          <w:tab w:val="left" w:pos="900"/>
          <w:tab w:val="left" w:pos="1100"/>
        </w:tabs>
        <w:wordWrap/>
        <w:overflowPunct/>
        <w:topLinePunct w:val="0"/>
        <w:bidi w:val="0"/>
        <w:spacing w:line="500" w:lineRule="exact"/>
        <w:ind w:firstLine="480" w:firstLineChars="200"/>
        <w:rPr>
          <w:rFonts w:hint="eastAsia" w:ascii="宋体" w:hAnsi="宋体" w:cs="仿宋_GB2312"/>
          <w:color w:val="000000"/>
          <w:sz w:val="24"/>
          <w:szCs w:val="24"/>
          <w:highlight w:val="none"/>
          <w:lang w:val="en-US" w:eastAsia="zh-CN"/>
        </w:rPr>
      </w:pPr>
      <w:r>
        <w:rPr>
          <w:rFonts w:hint="eastAsia" w:ascii="宋体" w:hAnsi="宋体" w:cs="仿宋_GB2312"/>
          <w:color w:val="000000"/>
          <w:sz w:val="24"/>
          <w:szCs w:val="24"/>
          <w:highlight w:val="none"/>
          <w:lang w:val="en-US" w:eastAsia="zh-CN"/>
        </w:rPr>
        <w:t>1、（《供应商UIC操作手册》在登录页面右下角-常见问题-我是供应商-注册登录栏-下载。操作登录时，有疑问请在上班时间联系</w:t>
      </w:r>
      <w:r>
        <w:rPr>
          <w:rFonts w:hint="eastAsia" w:ascii="宋体" w:hAnsi="宋体" w:eastAsia="宋体" w:cs="仿宋_GB2312"/>
          <w:color w:val="000000"/>
          <w:sz w:val="24"/>
          <w:szCs w:val="24"/>
          <w:highlight w:val="none"/>
          <w:lang w:val="en-US" w:eastAsia="zh-CN"/>
        </w:rPr>
        <w:t>：黄工15759533042）</w:t>
      </w:r>
      <w:r>
        <w:rPr>
          <w:rFonts w:hint="eastAsia" w:ascii="宋体" w:hAnsi="宋体" w:cs="仿宋_GB2312"/>
          <w:color w:val="000000"/>
          <w:sz w:val="24"/>
          <w:szCs w:val="24"/>
          <w:highlight w:val="none"/>
          <w:lang w:val="en-US" w:eastAsia="zh-CN"/>
        </w:rPr>
        <w:t>。</w:t>
      </w:r>
    </w:p>
    <w:p>
      <w:pPr>
        <w:keepNext w:val="0"/>
        <w:keepLines w:val="0"/>
        <w:pageBreakBefore w:val="0"/>
        <w:widowControl w:val="0"/>
        <w:wordWrap/>
        <w:overflowPunct/>
        <w:topLinePunct w:val="0"/>
        <w:bidi w:val="0"/>
        <w:spacing w:line="500" w:lineRule="exact"/>
        <w:ind w:firstLine="480" w:firstLineChars="200"/>
        <w:rPr>
          <w:rFonts w:hint="eastAsia" w:ascii="宋体" w:hAnsi="宋体" w:cs="仿宋_GB2312"/>
          <w:color w:val="000000"/>
          <w:sz w:val="24"/>
          <w:szCs w:val="24"/>
          <w:highlight w:val="none"/>
          <w:lang w:val="en-US" w:eastAsia="zh-CN"/>
        </w:rPr>
      </w:pPr>
      <w:r>
        <w:rPr>
          <w:rFonts w:hint="eastAsia" w:ascii="宋体" w:hAnsi="宋体" w:cs="仿宋_GB2312"/>
          <w:color w:val="000000"/>
          <w:sz w:val="24"/>
          <w:szCs w:val="24"/>
          <w:highlight w:val="none"/>
          <w:lang w:val="en-US" w:eastAsia="zh-CN"/>
        </w:rPr>
        <w:t>2、未按照本项要求获取招标文件且未通过供应商注册的投标人，无投标报价资格。</w:t>
      </w:r>
    </w:p>
    <w:p>
      <w:pPr>
        <w:keepNext w:val="0"/>
        <w:keepLines w:val="0"/>
        <w:pageBreakBefore w:val="0"/>
        <w:widowControl w:val="0"/>
        <w:wordWrap/>
        <w:overflowPunct/>
        <w:topLinePunct w:val="0"/>
        <w:bidi w:val="0"/>
        <w:spacing w:line="500" w:lineRule="exact"/>
        <w:ind w:firstLine="482" w:firstLineChars="200"/>
        <w:rPr>
          <w:rFonts w:hint="default" w:ascii="宋体" w:hAnsi="宋体" w:cs="仿宋_GB2312"/>
          <w:color w:val="000000"/>
          <w:sz w:val="24"/>
          <w:szCs w:val="24"/>
          <w:highlight w:val="none"/>
          <w:lang w:val="en-US" w:eastAsia="zh-CN"/>
        </w:rPr>
      </w:pPr>
      <w:r>
        <w:rPr>
          <w:rFonts w:hint="eastAsia" w:ascii="宋体" w:hAnsi="宋体" w:cs="宋体"/>
          <w:b/>
          <w:bCs/>
          <w:i w:val="0"/>
          <w:iCs w:val="0"/>
          <w:caps w:val="0"/>
          <w:color w:val="252525"/>
          <w:spacing w:val="0"/>
          <w:sz w:val="24"/>
          <w:szCs w:val="24"/>
          <w:highlight w:val="none"/>
          <w:shd w:val="clear" w:color="auto" w:fill="FFFFFF"/>
          <w:vertAlign w:val="baseline"/>
          <w:lang w:val="en-US" w:eastAsia="zh-CN"/>
        </w:rPr>
        <w:t>4.评标方法：采取</w:t>
      </w:r>
      <w:r>
        <w:rPr>
          <w:rFonts w:hint="eastAsia" w:ascii="宋体" w:hAnsi="宋体" w:eastAsia="宋体" w:cs="宋体"/>
          <w:b/>
          <w:bCs/>
          <w:i w:val="0"/>
          <w:iCs w:val="0"/>
          <w:caps w:val="0"/>
          <w:color w:val="auto"/>
          <w:spacing w:val="0"/>
          <w:sz w:val="24"/>
          <w:szCs w:val="24"/>
          <w:highlight w:val="none"/>
          <w:u w:val="single"/>
          <w:shd w:val="clear" w:color="auto" w:fill="FFFFFF"/>
          <w:vertAlign w:val="baseline"/>
          <w:lang w:val="en-US" w:eastAsia="zh-CN"/>
        </w:rPr>
        <w:t>经评审固定下浮金额值大中选</w:t>
      </w:r>
      <w:r>
        <w:rPr>
          <w:rFonts w:hint="eastAsia" w:ascii="宋体" w:hAnsi="宋体" w:eastAsia="宋体" w:cs="宋体"/>
          <w:b/>
          <w:bCs/>
          <w:i w:val="0"/>
          <w:iCs w:val="0"/>
          <w:caps w:val="0"/>
          <w:color w:val="252525"/>
          <w:spacing w:val="0"/>
          <w:sz w:val="24"/>
          <w:szCs w:val="24"/>
          <w:highlight w:val="none"/>
          <w:u w:val="single"/>
          <w:shd w:val="clear" w:color="auto" w:fill="FFFFFF"/>
          <w:vertAlign w:val="baseline"/>
          <w:lang w:val="en-US" w:eastAsia="zh-CN"/>
        </w:rPr>
        <w:t>。</w:t>
      </w:r>
    </w:p>
    <w:p>
      <w:pPr>
        <w:keepNext w:val="0"/>
        <w:keepLines w:val="0"/>
        <w:pageBreakBefore w:val="0"/>
        <w:numPr>
          <w:ilvl w:val="0"/>
          <w:numId w:val="0"/>
        </w:numPr>
        <w:wordWrap/>
        <w:overflowPunct/>
        <w:topLinePunct w:val="0"/>
        <w:bidi w:val="0"/>
        <w:spacing w:line="500" w:lineRule="exact"/>
        <w:ind w:firstLine="482" w:firstLineChars="200"/>
        <w:jc w:val="both"/>
        <w:rPr>
          <w:rFonts w:hint="eastAsia" w:ascii="宋体" w:hAnsi="宋体" w:eastAsia="宋体" w:cs="宋体"/>
          <w:color w:val="000000"/>
          <w:kern w:val="2"/>
          <w:sz w:val="24"/>
          <w:szCs w:val="24"/>
          <w:highlight w:val="none"/>
          <w:u w:val="none"/>
          <w:lang w:val="en-US" w:eastAsia="zh-CN" w:bidi="ar-SA"/>
        </w:rPr>
      </w:pPr>
      <w:r>
        <w:rPr>
          <w:rFonts w:hint="eastAsia" w:ascii="宋体" w:hAnsi="宋体" w:eastAsia="宋体" w:cs="宋体"/>
          <w:b/>
          <w:bCs/>
          <w:color w:val="000000"/>
          <w:kern w:val="2"/>
          <w:sz w:val="24"/>
          <w:szCs w:val="24"/>
          <w:highlight w:val="none"/>
          <w:lang w:val="en-US" w:eastAsia="zh-CN" w:bidi="ar-SA"/>
        </w:rPr>
        <w:t>5.投标文件的递交</w:t>
      </w:r>
    </w:p>
    <w:p>
      <w:pPr>
        <w:keepNext w:val="0"/>
        <w:keepLines w:val="0"/>
        <w:pageBreakBefore w:val="0"/>
        <w:numPr>
          <w:ilvl w:val="0"/>
          <w:numId w:val="0"/>
        </w:numPr>
        <w:wordWrap/>
        <w:overflowPunct/>
        <w:topLinePunct w:val="0"/>
        <w:bidi w:val="0"/>
        <w:spacing w:line="500" w:lineRule="exact"/>
        <w:ind w:firstLine="482" w:firstLineChars="200"/>
        <w:jc w:val="both"/>
        <w:rPr>
          <w:rFonts w:hint="default"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四、提交询价响应文件的截止时间</w:t>
      </w:r>
    </w:p>
    <w:p>
      <w:pPr>
        <w:pStyle w:val="7"/>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本项目采用电子开评标，报价文件递交的截止时间（投标截止时间）和开标时间：2026年6月2日9时45分，投标人应在截止时间前登录（</w:t>
      </w:r>
      <w:r>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t>http://121.204.201.32:9001/sppreact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）递交电子投标文件。询价申请人的询价响应文件及相关资料必须加盖公章逾期送达或未送达指定地点的文件，采购人将不予受理。</w:t>
      </w:r>
    </w:p>
    <w:p>
      <w:pPr>
        <w:keepNext w:val="0"/>
        <w:keepLines w:val="0"/>
        <w:pageBreakBefore w:val="0"/>
        <w:widowControl w:val="0"/>
        <w:kinsoku w:val="0"/>
        <w:wordWrap/>
        <w:overflowPunct/>
        <w:topLinePunct w:val="0"/>
        <w:autoSpaceDE w:val="0"/>
        <w:autoSpaceDN w:val="0"/>
        <w:bidi w:val="0"/>
        <w:adjustRightInd w:val="0"/>
        <w:snapToGrid w:val="0"/>
        <w:spacing w:line="500" w:lineRule="exact"/>
        <w:ind w:firstLine="482" w:firstLineChars="200"/>
        <w:textAlignment w:val="baseline"/>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五、联系方式</w:t>
      </w:r>
    </w:p>
    <w:p>
      <w:pPr>
        <w:keepNext w:val="0"/>
        <w:keepLines w:val="0"/>
        <w:pageBreakBefore w:val="0"/>
        <w:widowControl w:val="0"/>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询价人：</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福建省水投供应链管理有限公司</w:t>
      </w:r>
    </w:p>
    <w:p>
      <w:pPr>
        <w:keepNext w:val="0"/>
        <w:keepLines w:val="0"/>
        <w:pageBreakBefore w:val="0"/>
        <w:widowControl w:val="0"/>
        <w:kinsoku w:val="0"/>
        <w:wordWrap/>
        <w:overflowPunct/>
        <w:topLinePunct w:val="0"/>
        <w:autoSpaceDE w:val="0"/>
        <w:autoSpaceDN w:val="0"/>
        <w:bidi w:val="0"/>
        <w:adjustRightInd w:val="0"/>
        <w:snapToGrid w:val="0"/>
        <w:spacing w:line="500" w:lineRule="exact"/>
        <w:ind w:firstLine="480" w:firstLineChars="200"/>
        <w:textAlignment w:val="baseline"/>
        <w:rPr>
          <w:rFonts w:hint="default" w:ascii="宋体" w:hAnsi="宋体" w:eastAsia="宋体" w:cs="宋体"/>
          <w:b w:val="0"/>
          <w:bCs w:val="0"/>
          <w:color w:val="000000" w:themeColor="text1"/>
          <w:kern w:val="2"/>
          <w:sz w:val="24"/>
          <w:szCs w:val="24"/>
          <w:highlight w:val="none"/>
          <w:u w:val="singl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联系人：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林先生</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电话：</w:t>
      </w:r>
      <w:r>
        <w:rPr>
          <w:rFonts w:hint="eastAsia" w:ascii="宋体" w:hAnsi="宋体" w:eastAsia="宋体" w:cs="宋体"/>
          <w:b w:val="0"/>
          <w:bCs w:val="0"/>
          <w:color w:val="000000" w:themeColor="text1"/>
          <w:kern w:val="2"/>
          <w:sz w:val="24"/>
          <w:szCs w:val="24"/>
          <w:highlight w:val="none"/>
          <w:u w:val="single"/>
          <w:lang w:val="en-US" w:eastAsia="zh-CN" w:bidi="ar-SA"/>
          <w14:textFill>
            <w14:solidFill>
              <w14:schemeClr w14:val="tx1"/>
            </w14:solidFill>
          </w14:textFill>
        </w:rPr>
        <w:t>15905977737</w:t>
      </w:r>
    </w:p>
    <w:p>
      <w:pPr>
        <w:keepNext w:val="0"/>
        <w:keepLines w:val="0"/>
        <w:pageBreakBefore w:val="0"/>
        <w:widowControl w:val="0"/>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邮箱：</w:t>
      </w:r>
      <w:r>
        <w:rPr>
          <w:rFonts w:hint="eastAsia" w:ascii="宋体" w:hAnsi="宋体" w:eastAsia="宋体" w:cs="宋体"/>
          <w:color w:val="000000"/>
          <w:kern w:val="2"/>
          <w:sz w:val="24"/>
          <w:szCs w:val="24"/>
          <w:highlight w:val="none"/>
          <w:u w:val="single"/>
          <w:lang w:val="en-US" w:eastAsia="zh-CN" w:bidi="ar-SA"/>
        </w:rPr>
        <w:t>fjstgyl@fjstgyl.com</w:t>
      </w:r>
      <w:bookmarkStart w:id="8" w:name="_GoBack"/>
      <w:bookmarkEnd w:id="8"/>
    </w:p>
    <w:p>
      <w:pPr>
        <w:pStyle w:val="2"/>
        <w:ind w:firstLine="480" w:firstLineChars="200"/>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地址：</w:t>
      </w:r>
      <w:r>
        <w:rPr>
          <w:rFonts w:hint="eastAsia" w:ascii="宋体" w:hAnsi="宋体" w:eastAsia="宋体" w:cs="宋体"/>
          <w:color w:val="000000" w:themeColor="text1"/>
          <w:kern w:val="0"/>
          <w:sz w:val="24"/>
          <w:szCs w:val="24"/>
          <w:highlight w:val="none"/>
          <w:u w:val="single"/>
          <w14:textFill>
            <w14:solidFill>
              <w14:schemeClr w14:val="tx1"/>
            </w14:solidFill>
          </w14:textFill>
        </w:rPr>
        <w:t>福建省泉州市丰泽区丰惠路87号</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508室</w:t>
      </w:r>
      <w:r>
        <w:rPr>
          <w:rFonts w:hint="eastAsia" w:ascii="宋体" w:hAnsi="宋体" w:eastAsia="宋体" w:cs="宋体"/>
          <w:color w:val="000000" w:themeColor="text1"/>
          <w:sz w:val="24"/>
          <w:szCs w:val="24"/>
          <w:highlight w:val="none"/>
          <w14:textFill>
            <w14:solidFill>
              <w14:schemeClr w14:val="tx1"/>
            </w14:solidFill>
          </w14:textFill>
        </w:rPr>
        <w:t>，邮编：</w:t>
      </w:r>
      <w:r>
        <w:rPr>
          <w:rFonts w:hint="eastAsia" w:ascii="宋体" w:hAnsi="宋体" w:eastAsia="宋体" w:cs="宋体"/>
          <w:color w:val="000000" w:themeColor="text1"/>
          <w:sz w:val="24"/>
          <w:szCs w:val="24"/>
          <w:highlight w:val="none"/>
          <w:u w:val="single"/>
          <w14:textFill>
            <w14:solidFill>
              <w14:schemeClr w14:val="tx1"/>
            </w14:solidFill>
          </w14:textFill>
        </w:rPr>
        <w:t xml:space="preserve">362000 </w:t>
      </w:r>
    </w:p>
    <w:p>
      <w:pPr>
        <w:pStyle w:val="3"/>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p>
    <w:p>
      <w:pP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p>
    <w:p>
      <w:pPr>
        <w:numPr>
          <w:ilvl w:val="0"/>
          <w:numId w:val="0"/>
        </w:numPr>
        <w:jc w:val="both"/>
        <w:rPr>
          <w:rFonts w:hint="eastAsia" w:ascii="仿宋" w:hAnsi="仿宋" w:eastAsia="仿宋" w:cs="仿宋"/>
          <w:b/>
          <w:bCs/>
          <w:color w:val="000000" w:themeColor="text1"/>
          <w:sz w:val="44"/>
          <w:szCs w:val="44"/>
          <w:highlight w:val="none"/>
          <w:lang w:val="en-US" w:eastAsia="zh-CN"/>
          <w14:textFill>
            <w14:solidFill>
              <w14:schemeClr w14:val="tx1"/>
            </w14:solidFill>
          </w14:textFill>
        </w:rPr>
      </w:pPr>
    </w:p>
    <w:p>
      <w:pPr>
        <w:numPr>
          <w:ilvl w:val="0"/>
          <w:numId w:val="0"/>
        </w:numPr>
        <w:jc w:val="both"/>
        <w:rPr>
          <w:rFonts w:hint="eastAsia" w:ascii="仿宋" w:hAnsi="仿宋" w:eastAsia="仿宋" w:cs="仿宋"/>
          <w:b/>
          <w:bCs/>
          <w:color w:val="000000" w:themeColor="text1"/>
          <w:sz w:val="44"/>
          <w:szCs w:val="44"/>
          <w:highlight w:val="none"/>
          <w:lang w:val="en-US" w:eastAsia="zh-CN"/>
          <w14:textFill>
            <w14:solidFill>
              <w14:schemeClr w14:val="tx1"/>
            </w14:solidFill>
          </w14:textFill>
        </w:rPr>
      </w:pPr>
    </w:p>
    <w:p>
      <w:pPr>
        <w:numPr>
          <w:ilvl w:val="0"/>
          <w:numId w:val="0"/>
        </w:numPr>
        <w:jc w:val="both"/>
        <w:rPr>
          <w:rFonts w:hint="eastAsia" w:ascii="仿宋" w:hAnsi="仿宋" w:eastAsia="仿宋" w:cs="仿宋"/>
          <w:b/>
          <w:bCs/>
          <w:color w:val="000000" w:themeColor="text1"/>
          <w:sz w:val="44"/>
          <w:szCs w:val="44"/>
          <w:highlight w:val="none"/>
          <w:lang w:val="en-US" w:eastAsia="zh-CN"/>
          <w14:textFill>
            <w14:solidFill>
              <w14:schemeClr w14:val="tx1"/>
            </w14:solidFill>
          </w14:textFill>
        </w:rPr>
      </w:pPr>
    </w:p>
    <w:p>
      <w:pPr>
        <w:numPr>
          <w:ilvl w:val="0"/>
          <w:numId w:val="0"/>
        </w:numPr>
        <w:jc w:val="both"/>
        <w:rPr>
          <w:rFonts w:hint="eastAsia" w:ascii="仿宋" w:hAnsi="仿宋" w:eastAsia="仿宋" w:cs="仿宋"/>
          <w:b/>
          <w:bCs/>
          <w:color w:val="000000" w:themeColor="text1"/>
          <w:sz w:val="44"/>
          <w:szCs w:val="44"/>
          <w:highlight w:val="none"/>
          <w:lang w:val="en-US" w:eastAsia="zh-CN"/>
          <w14:textFill>
            <w14:solidFill>
              <w14:schemeClr w14:val="tx1"/>
            </w14:solidFill>
          </w14:textFill>
        </w:rPr>
      </w:pPr>
    </w:p>
    <w:p>
      <w:pPr>
        <w:numPr>
          <w:ilvl w:val="0"/>
          <w:numId w:val="0"/>
        </w:numPr>
        <w:jc w:val="both"/>
        <w:rPr>
          <w:rFonts w:hint="eastAsia" w:ascii="仿宋" w:hAnsi="仿宋" w:eastAsia="仿宋" w:cs="仿宋"/>
          <w:b/>
          <w:bCs/>
          <w:color w:val="000000" w:themeColor="text1"/>
          <w:sz w:val="44"/>
          <w:szCs w:val="44"/>
          <w:highlight w:val="none"/>
          <w:lang w:val="en-US" w:eastAsia="zh-CN"/>
          <w14:textFill>
            <w14:solidFill>
              <w14:schemeClr w14:val="tx1"/>
            </w14:solidFill>
          </w14:textFill>
        </w:rPr>
      </w:pPr>
    </w:p>
    <w:p>
      <w:pPr>
        <w:numPr>
          <w:ilvl w:val="0"/>
          <w:numId w:val="0"/>
        </w:numPr>
        <w:jc w:val="both"/>
        <w:rPr>
          <w:rFonts w:hint="eastAsia" w:ascii="仿宋" w:hAnsi="仿宋" w:eastAsia="仿宋" w:cs="仿宋"/>
          <w:b/>
          <w:bCs/>
          <w:color w:val="000000" w:themeColor="text1"/>
          <w:sz w:val="44"/>
          <w:szCs w:val="44"/>
          <w:highlight w:val="none"/>
          <w:lang w:val="en-US" w:eastAsia="zh-CN"/>
          <w14:textFill>
            <w14:solidFill>
              <w14:schemeClr w14:val="tx1"/>
            </w14:solidFill>
          </w14:textFill>
        </w:rPr>
      </w:pPr>
    </w:p>
    <w:p>
      <w:pPr>
        <w:numPr>
          <w:ilvl w:val="0"/>
          <w:numId w:val="0"/>
        </w:numPr>
        <w:jc w:val="both"/>
        <w:rPr>
          <w:rFonts w:hint="eastAsia" w:ascii="仿宋" w:hAnsi="仿宋" w:eastAsia="仿宋" w:cs="仿宋"/>
          <w:b/>
          <w:bCs/>
          <w:color w:val="000000" w:themeColor="text1"/>
          <w:sz w:val="44"/>
          <w:szCs w:val="44"/>
          <w:highlight w:val="none"/>
          <w:lang w:val="en-US" w:eastAsia="zh-CN"/>
          <w14:textFill>
            <w14:solidFill>
              <w14:schemeClr w14:val="tx1"/>
            </w14:solidFill>
          </w14:textFill>
        </w:rPr>
      </w:pPr>
    </w:p>
    <w:p>
      <w:pPr>
        <w:keepNext w:val="0"/>
        <w:keepLines w:val="0"/>
        <w:pageBreakBefore w:val="0"/>
        <w:numPr>
          <w:ilvl w:val="0"/>
          <w:numId w:val="0"/>
        </w:numPr>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u w:val="none"/>
          <w:lang w:val="en-US" w:eastAsia="zh-CN"/>
          <w14:textFill>
            <w14:solidFill>
              <w14:schemeClr w14:val="tx1"/>
            </w14:solidFill>
          </w14:textFill>
        </w:rPr>
      </w:pPr>
    </w:p>
    <w:sectPr>
      <w:footerReference r:id="rId3" w:type="default"/>
      <w:pgSz w:w="11906" w:h="16838"/>
      <w:pgMar w:top="1134" w:right="1361" w:bottom="1134" w:left="1531"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kZDlmYWM4MDU5ODkyMzRmNDkyYzFiMzJhNTNiYjQifQ=="/>
  </w:docVars>
  <w:rsids>
    <w:rsidRoot w:val="196740E3"/>
    <w:rsid w:val="06A06A87"/>
    <w:rsid w:val="07965F00"/>
    <w:rsid w:val="093942A9"/>
    <w:rsid w:val="0B756CA4"/>
    <w:rsid w:val="0B7D3B40"/>
    <w:rsid w:val="0E7D5E53"/>
    <w:rsid w:val="0FDB107B"/>
    <w:rsid w:val="10195AA2"/>
    <w:rsid w:val="14141CFA"/>
    <w:rsid w:val="142C45C0"/>
    <w:rsid w:val="15036C81"/>
    <w:rsid w:val="16FC7B86"/>
    <w:rsid w:val="171E63FC"/>
    <w:rsid w:val="17EB6C6C"/>
    <w:rsid w:val="18E97372"/>
    <w:rsid w:val="18F41B50"/>
    <w:rsid w:val="196740E3"/>
    <w:rsid w:val="1A626F8D"/>
    <w:rsid w:val="1BB43306"/>
    <w:rsid w:val="1BFE4A94"/>
    <w:rsid w:val="1DC77248"/>
    <w:rsid w:val="1E2F1CDA"/>
    <w:rsid w:val="1E7A42A4"/>
    <w:rsid w:val="211D59BC"/>
    <w:rsid w:val="23164DB9"/>
    <w:rsid w:val="25BE320E"/>
    <w:rsid w:val="2643079A"/>
    <w:rsid w:val="269355A6"/>
    <w:rsid w:val="273E5936"/>
    <w:rsid w:val="27483067"/>
    <w:rsid w:val="277E6269"/>
    <w:rsid w:val="28311FC0"/>
    <w:rsid w:val="28983A28"/>
    <w:rsid w:val="28C83128"/>
    <w:rsid w:val="2B73700F"/>
    <w:rsid w:val="2C007AD3"/>
    <w:rsid w:val="2D2B536E"/>
    <w:rsid w:val="2E010D33"/>
    <w:rsid w:val="307B6CAC"/>
    <w:rsid w:val="337226C4"/>
    <w:rsid w:val="338916BB"/>
    <w:rsid w:val="33A5481A"/>
    <w:rsid w:val="347E4309"/>
    <w:rsid w:val="355552CD"/>
    <w:rsid w:val="35A52D29"/>
    <w:rsid w:val="362C4F22"/>
    <w:rsid w:val="39111D4C"/>
    <w:rsid w:val="396D5F42"/>
    <w:rsid w:val="3A9C399E"/>
    <w:rsid w:val="3E096F08"/>
    <w:rsid w:val="3F0D5321"/>
    <w:rsid w:val="40387CC5"/>
    <w:rsid w:val="43377008"/>
    <w:rsid w:val="45193010"/>
    <w:rsid w:val="451A2572"/>
    <w:rsid w:val="488E57F1"/>
    <w:rsid w:val="4A877C34"/>
    <w:rsid w:val="4D53544E"/>
    <w:rsid w:val="4E657E2A"/>
    <w:rsid w:val="50C455F6"/>
    <w:rsid w:val="50C7531E"/>
    <w:rsid w:val="521373EE"/>
    <w:rsid w:val="53E75213"/>
    <w:rsid w:val="54A83213"/>
    <w:rsid w:val="54B55930"/>
    <w:rsid w:val="59527BF2"/>
    <w:rsid w:val="5C210D62"/>
    <w:rsid w:val="5C2D62B1"/>
    <w:rsid w:val="5D29693C"/>
    <w:rsid w:val="5E655CD1"/>
    <w:rsid w:val="670C7632"/>
    <w:rsid w:val="673A02C3"/>
    <w:rsid w:val="67B657F0"/>
    <w:rsid w:val="67C60FDB"/>
    <w:rsid w:val="69AA165F"/>
    <w:rsid w:val="69C75A92"/>
    <w:rsid w:val="6B182A49"/>
    <w:rsid w:val="6D8D1AF2"/>
    <w:rsid w:val="6E7206C2"/>
    <w:rsid w:val="6E7B1FE3"/>
    <w:rsid w:val="70B7547C"/>
    <w:rsid w:val="716B13F9"/>
    <w:rsid w:val="72390FDF"/>
    <w:rsid w:val="746018C5"/>
    <w:rsid w:val="762F1005"/>
    <w:rsid w:val="79401165"/>
    <w:rsid w:val="79FF6B82"/>
    <w:rsid w:val="7A0E0920"/>
    <w:rsid w:val="7ADC56E2"/>
    <w:rsid w:val="7C0778A1"/>
    <w:rsid w:val="7D1A4148"/>
    <w:rsid w:val="7EB52578"/>
    <w:rsid w:val="7F1509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99"/>
    <w:pPr>
      <w:autoSpaceDE w:val="0"/>
      <w:autoSpaceDN w:val="0"/>
      <w:adjustRightInd w:val="0"/>
      <w:spacing w:line="360" w:lineRule="auto"/>
    </w:pPr>
    <w:rPr>
      <w:rFonts w:ascii="宋体" w:hAnsi="Arial"/>
      <w:sz w:val="24"/>
      <w:szCs w:val="21"/>
      <w:lang w:val="zh-CN"/>
    </w:rPr>
  </w:style>
  <w:style w:type="paragraph" w:customStyle="1" w:styleId="3">
    <w:name w:val="Default"/>
    <w:next w:val="1"/>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4">
    <w:name w:val="Plain Text"/>
    <w:basedOn w:val="1"/>
    <w:autoRedefine/>
    <w:qFormat/>
    <w:uiPriority w:val="0"/>
    <w:rPr>
      <w:rFonts w:ascii="宋体" w:hAnsi="Courier New"/>
      <w:sz w:val="21"/>
      <w:szCs w:val="21"/>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pPr>
      <w:spacing w:beforeAutospacing="1" w:afterAutospacing="1"/>
      <w:jc w:val="left"/>
    </w:pPr>
    <w:rPr>
      <w:kern w:val="0"/>
      <w:sz w:val="24"/>
    </w:rPr>
  </w:style>
  <w:style w:type="character" w:styleId="10">
    <w:name w:val="Strong"/>
    <w:autoRedefine/>
    <w:qFormat/>
    <w:uiPriority w:val="22"/>
    <w:rPr>
      <w:b/>
      <w:color w:val="888888"/>
    </w:rPr>
  </w:style>
  <w:style w:type="character" w:styleId="11">
    <w:name w:val="Hyperlink"/>
    <w:basedOn w:val="9"/>
    <w:autoRedefine/>
    <w:qFormat/>
    <w:uiPriority w:val="0"/>
    <w:rPr>
      <w:color w:val="0000FF"/>
      <w:u w:val="single"/>
    </w:rPr>
  </w:style>
  <w:style w:type="paragraph" w:customStyle="1" w:styleId="12">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3064</Words>
  <Characters>3539</Characters>
  <Lines>0</Lines>
  <Paragraphs>0</Paragraphs>
  <TotalTime>0</TotalTime>
  <ScaleCrop>false</ScaleCrop>
  <LinksUpToDate>false</LinksUpToDate>
  <CharactersWithSpaces>3937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2021-06-10T08:49:00Z</dcterms:created>
  <dc:creator>DELL</dc:creator>
  <cp:lastModifiedBy>匆</cp:lastModifiedBy>
  <cp:lastPrinted>2024-05-11T07:46:00Z</cp:lastPrinted>
  <dcterms:modified xsi:type="dcterms:W3CDTF">2026-05-29T01:30:27Z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CD478FA739FC4831A8604F837A71626A_13</vt:lpwstr>
  </property>
  <property fmtid="{D5CDD505-2E9C-101B-9397-08002B2CF9AE}" pid="4" name="KSOTemplateDocerSaveRecord">
    <vt:lpwstr>eyJoZGlkIjoiOTZiYjQ1NzJhYTBjOWU2Yzg1ZmRiNTYxMTY1ZjdmMWYiLCJ1c2VySWQiOiIzNjQ1MDA0ODgifQ==</vt:lpwstr>
  </property>
</Properties>
</file>